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sz w:val="36"/>
          <w:szCs w:val="36"/>
          <w:lang w:eastAsia="zh-CN"/>
        </w:rPr>
      </w:pPr>
      <w:r>
        <w:rPr>
          <w:rFonts w:hint="eastAsia" w:eastAsia="黑体"/>
          <w:sz w:val="34"/>
          <w:szCs w:val="36"/>
        </w:rPr>
        <w:t>如皋经济技术开发区实验幼儿园</w:t>
      </w:r>
      <w:r>
        <w:rPr>
          <w:rFonts w:hint="eastAsia" w:eastAsia="黑体" w:cs="Times New Roman"/>
          <w:sz w:val="34"/>
          <w:szCs w:val="36"/>
        </w:rPr>
        <w:t>北操场户外防腐碳化木</w:t>
      </w:r>
      <w:r>
        <w:rPr>
          <w:rFonts w:hint="eastAsia" w:eastAsia="黑体" w:cs="Times New Roman"/>
          <w:sz w:val="34"/>
          <w:szCs w:val="36"/>
          <w:lang w:eastAsia="zh-CN"/>
        </w:rPr>
        <w:t>玩具</w:t>
      </w:r>
      <w:r>
        <w:rPr>
          <w:rFonts w:hint="eastAsia" w:eastAsia="黑体" w:cs="Times New Roman"/>
          <w:sz w:val="34"/>
          <w:szCs w:val="36"/>
        </w:rPr>
        <w:t>置物架</w:t>
      </w:r>
      <w:r>
        <w:rPr>
          <w:rFonts w:hint="eastAsia" w:eastAsia="黑体" w:cs="Times New Roman"/>
          <w:sz w:val="34"/>
          <w:szCs w:val="36"/>
          <w:lang w:eastAsia="zh-CN"/>
        </w:rPr>
        <w:t>采购公告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采购项目名称：开发区实验幼儿园北操场户外防腐碳化木玩具置物架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采购项目编号：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auto"/>
          <w:lang w:eastAsia="zh-CN"/>
        </w:rPr>
        <w:t>RGCGJH-201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auto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auto"/>
          <w:lang w:eastAsia="zh-CN"/>
        </w:rPr>
        <w:t>-07-0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auto"/>
          <w:lang w:val="en-US" w:eastAsia="zh-CN"/>
        </w:rPr>
        <w:t>565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采购项目内容及</w:t>
      </w:r>
      <w:r>
        <w:rPr>
          <w:rFonts w:hint="eastAsia" w:ascii="宋体" w:hAnsi="宋体" w:cs="宋体"/>
          <w:sz w:val="24"/>
          <w:szCs w:val="24"/>
          <w:lang w:eastAsia="zh-CN"/>
        </w:rPr>
        <w:t>要求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</w:p>
    <w:tbl>
      <w:tblPr>
        <w:tblStyle w:val="7"/>
        <w:tblW w:w="7897" w:type="dxa"/>
        <w:jc w:val="center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75"/>
        <w:gridCol w:w="1325"/>
        <w:gridCol w:w="659"/>
        <w:gridCol w:w="851"/>
        <w:gridCol w:w="127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品目号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  <w:t>货物</w:t>
            </w:r>
            <w:r>
              <w:rPr>
                <w:rFonts w:hint="default" w:ascii="宋体" w:hAnsi="宋体" w:cs="宋体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cs="宋体"/>
                <w:b/>
                <w:color w:val="000000"/>
                <w:sz w:val="24"/>
                <w:szCs w:val="24"/>
              </w:rPr>
              <w:t>简要技术指标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bCs/>
                <w:sz w:val="24"/>
                <w:szCs w:val="24"/>
                <w:lang w:eastAsia="zh-CN"/>
              </w:rPr>
              <w:t>预算金额（万元）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602" w:firstLineChars="250"/>
              <w:rPr>
                <w:rFonts w:hint="default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户外防腐木玩具置物架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240" w:firstLineChars="100"/>
              <w:rPr>
                <w:rFonts w:hint="default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见附件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批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月底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安装到位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置物架材质采用烘干处理的樟子松防腐木，表面需采用高温碳化工艺完成。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提供国家木材权威机构出具的樟子松防腐木检测报告原件，防腐质量达到C4A等级标准。</w:t>
      </w:r>
    </w:p>
    <w:p>
      <w:pPr>
        <w:numPr>
          <w:ilvl w:val="0"/>
          <w:numId w:val="0"/>
        </w:numPr>
        <w:spacing w:line="360" w:lineRule="auto"/>
        <w:rPr>
          <w:rFonts w:hint="default" w:ascii="??" w:hAnsi="??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四、</w:t>
      </w:r>
      <w:r>
        <w:rPr>
          <w:rFonts w:hint="eastAsia"/>
          <w:sz w:val="24"/>
          <w:szCs w:val="24"/>
        </w:rPr>
        <w:t>采购方式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  <w:lang w:eastAsia="zh-CN"/>
        </w:rPr>
        <w:t>竞争性谈判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(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  <w:lang w:eastAsia="zh-CN"/>
        </w:rPr>
        <w:t>材料验收后如不足三家，改为议标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)</w:t>
      </w:r>
    </w:p>
    <w:p>
      <w:pPr>
        <w:numPr>
          <w:ilvl w:val="0"/>
          <w:numId w:val="0"/>
        </w:num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五、投标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需提交的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资格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审查文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件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11"/>
        <w:numPr>
          <w:ilvl w:val="0"/>
          <w:numId w:val="1"/>
        </w:numPr>
        <w:spacing w:line="360" w:lineRule="auto"/>
        <w:jc w:val="both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营业执照（副本）复印件</w:t>
      </w:r>
      <w:r>
        <w:rPr>
          <w:rFonts w:hint="eastAsia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（加盖单位公章）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原件投标时需带来备查，不需封装。</w:t>
      </w:r>
    </w:p>
    <w:p>
      <w:pPr>
        <w:pStyle w:val="11"/>
        <w:numPr>
          <w:ilvl w:val="0"/>
          <w:numId w:val="1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法人代表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参加投标需提供法人身份证复印件，加盖单位公章，身份证原件带来备查。</w:t>
      </w:r>
    </w:p>
    <w:p>
      <w:pPr>
        <w:pStyle w:val="11"/>
        <w:numPr>
          <w:ilvl w:val="0"/>
          <w:numId w:val="1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法人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授权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他人参加投标需提供法人授权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委托书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（加盖公章）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、法人代表身份证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复印件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及被授权人身份证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复印件（加盖公章）身份证原件带来备查。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营业执照中包含学校文化环境布置或装饰装修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提供近三年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内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幼儿园文化创设的相关业绩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合同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复印件</w:t>
      </w:r>
      <w:r>
        <w:rPr>
          <w:rFonts w:hint="eastAsia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（加盖单位公章）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原件投标时需带来备查，不需封装。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6.提供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参加政府采购活动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三年内在经营活动中没有重大违法记录的书面声明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（加盖单位公章）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7.2019年近一个季度（三个月）的财务状况报告、依法税务完税证明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（加盖单位公章）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8.由人民检察院开具的企业无行贿受贿违法纪录的证明文件原件。(此条款目前无需投标方提供相应材料）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default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??" w:hAnsi="??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开标时须携带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资格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审查文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件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报价文件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（见附件）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资格审查文件与报价文件需分开装订并密封，并在投标时分别递交。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密封袋封面均需标明“招标项目名称”、“招标项目编号”、“投标人名称、地址、联系电话”、“联系人（授权委托人）及电话。未按上述要求标记的，投标将被拒绝。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投标文件密封袋封面均应注明“于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时之前（指招标邀请中规定的投标日期及时间）不准启封”的字样，加盖单位公章，法定代表人或授权委托人签字或签章。</w:t>
      </w:r>
    </w:p>
    <w:p>
      <w:pPr>
        <w:spacing w:line="360" w:lineRule="auto"/>
        <w:ind w:firstLine="480" w:firstLineChars="200"/>
        <w:rPr>
          <w:rFonts w:ascii="??" w:hAnsi="??" w:cs="宋体"/>
          <w:color w:val="000000" w:themeColor="text1"/>
          <w:kern w:val="0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最高限价：资格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后通过者方可进入报价评审阶段。本次报价为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价报价，有效报价中最低报价为中标人。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本工程最高限价为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u w:val="singl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人民币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u w:val="singl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5万元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七、</w:t>
      </w:r>
      <w:r>
        <w:rPr>
          <w:rFonts w:hint="eastAsia"/>
          <w:sz w:val="24"/>
          <w:szCs w:val="24"/>
        </w:rPr>
        <w:t>文件接收时间和地点</w:t>
      </w:r>
    </w:p>
    <w:p>
      <w:pPr>
        <w:autoSpaceDE w:val="0"/>
        <w:spacing w:before="75" w:after="75"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>接受报价文件时间：2019年7月2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4"/>
        </w:rPr>
        <w:t>日  8 时30分至 9  时 00  分</w:t>
      </w:r>
    </w:p>
    <w:p>
      <w:pPr>
        <w:autoSpaceDE w:val="0"/>
        <w:spacing w:before="75" w:after="75" w:line="4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接受报价文件截止时间：2019年 7月 2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4"/>
        </w:rPr>
        <w:t>日 9  时  00 分</w:t>
      </w:r>
    </w:p>
    <w:p>
      <w:pPr>
        <w:spacing w:line="360" w:lineRule="auto"/>
        <w:ind w:firstLine="480" w:firstLineChars="200"/>
        <w:rPr>
          <w:rFonts w:ascii="??" w:hAnsi="??" w:cs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??" w:hAnsi="??" w:cs="宋体"/>
          <w:color w:val="auto"/>
          <w:kern w:val="0"/>
          <w:sz w:val="24"/>
          <w:szCs w:val="24"/>
          <w:shd w:val="clear" w:color="auto" w:fill="FFFFFF"/>
          <w:lang w:eastAsia="zh-CN"/>
        </w:rPr>
        <w:t>如皋经济技术开发区实验幼儿园二楼</w:t>
      </w:r>
      <w:r>
        <w:rPr>
          <w:rFonts w:hint="eastAsia" w:ascii="??" w:hAnsi="??" w:cs="宋体"/>
          <w:color w:val="auto"/>
          <w:kern w:val="0"/>
          <w:sz w:val="24"/>
          <w:szCs w:val="24"/>
          <w:shd w:val="clear" w:color="auto" w:fill="FFFFFF"/>
        </w:rPr>
        <w:t>会议室</w:t>
      </w:r>
    </w:p>
    <w:p>
      <w:pPr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八、</w:t>
      </w:r>
      <w:r>
        <w:rPr>
          <w:rFonts w:hint="eastAsia"/>
          <w:sz w:val="24"/>
          <w:szCs w:val="24"/>
        </w:rPr>
        <w:t>评审时间和标准</w:t>
      </w:r>
    </w:p>
    <w:p>
      <w:pPr>
        <w:autoSpaceDE w:val="0"/>
        <w:spacing w:before="75" w:after="75" w:line="420" w:lineRule="exact"/>
        <w:ind w:left="420" w:left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??" w:hAnsi="??" w:cs="宋体"/>
          <w:color w:val="000000"/>
          <w:kern w:val="0"/>
          <w:sz w:val="24"/>
          <w:szCs w:val="24"/>
          <w:shd w:val="clear" w:color="auto" w:fill="FFFFFF"/>
        </w:rPr>
        <w:t>201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7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29  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</w:rPr>
        <w:t>日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  <w:lang w:eastAsia="zh-CN"/>
        </w:rPr>
        <w:t>上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</w:rPr>
        <w:t>午</w:t>
      </w:r>
      <w:r>
        <w:rPr>
          <w:rFonts w:hint="eastAsia" w:ascii="宋体" w:hAnsi="宋体" w:cs="宋体"/>
          <w:color w:val="000000"/>
          <w:sz w:val="24"/>
        </w:rPr>
        <w:t xml:space="preserve"> 9 时 00  分</w:t>
      </w:r>
    </w:p>
    <w:p>
      <w:pPr>
        <w:spacing w:line="360" w:lineRule="auto"/>
        <w:ind w:firstLine="480" w:firstLineChars="200"/>
        <w:rPr>
          <w:rFonts w:ascii="??" w:hAnsi="??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评标方法：最低价中标法。本工程采用二次报价，投标人递交的投标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??" w:hAnsi="??" w:cs="宋体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为第一次报价，当场进行第二次报价（第二次报价不得高于第一次报价），第二次报价最低者中标。</w:t>
      </w:r>
    </w:p>
    <w:p>
      <w:pPr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九、</w:t>
      </w:r>
      <w:r>
        <w:rPr>
          <w:rFonts w:hint="eastAsia"/>
          <w:sz w:val="24"/>
          <w:szCs w:val="24"/>
        </w:rPr>
        <w:t>保证金事宜</w:t>
      </w:r>
    </w:p>
    <w:p>
      <w:pPr>
        <w:spacing w:line="360" w:lineRule="auto"/>
        <w:ind w:firstLine="480" w:firstLineChars="200"/>
        <w:rPr>
          <w:rFonts w:hint="eastAsia" w:ascii="??" w:hAnsi="??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</w:rPr>
        <w:t>投标保证金：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  <w:lang w:eastAsia="zh-CN"/>
        </w:rPr>
        <w:t>壹仟元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(1000元）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</w:rPr>
        <w:t>。（开标截止时间前带现金用信封密封好缴纳给招标人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  <w:lang w:eastAsia="zh-CN"/>
        </w:rPr>
        <w:t>），投标单位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</w:rPr>
        <w:t>在开标时现场缴纳，未中标单位当场退还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十、</w:t>
      </w:r>
      <w:r>
        <w:rPr>
          <w:rFonts w:hint="eastAsia"/>
          <w:sz w:val="24"/>
          <w:szCs w:val="24"/>
        </w:rPr>
        <w:t>采购人联系方式</w:t>
      </w:r>
    </w:p>
    <w:p>
      <w:pPr>
        <w:spacing w:line="240" w:lineRule="exact"/>
        <w:ind w:firstLine="480" w:firstLineChars="200"/>
        <w:rPr>
          <w:rFonts w:hint="eastAsia" w:hAnsi="宋体" w:cs="Times New Roman"/>
          <w:sz w:val="24"/>
          <w:lang w:val="en-US" w:eastAsia="zh-CN"/>
        </w:rPr>
      </w:pPr>
      <w:r>
        <w:rPr>
          <w:rFonts w:hint="eastAsia" w:hAnsi="宋体" w:cs="Times New Roman"/>
          <w:sz w:val="24"/>
        </w:rPr>
        <w:t>联系人：</w:t>
      </w:r>
      <w:r>
        <w:rPr>
          <w:rFonts w:hint="eastAsia" w:hAnsi="宋体" w:cs="Times New Roman"/>
          <w:sz w:val="24"/>
          <w:lang w:eastAsia="zh-CN"/>
        </w:rPr>
        <w:t>石海霞</w:t>
      </w:r>
      <w:r>
        <w:rPr>
          <w:rFonts w:hint="eastAsia" w:hAnsi="宋体" w:cs="Times New Roman"/>
          <w:sz w:val="24"/>
        </w:rPr>
        <w:t xml:space="preserve">  电话：</w:t>
      </w:r>
      <w:r>
        <w:rPr>
          <w:rFonts w:hint="eastAsia" w:hAnsi="宋体" w:cs="Times New Roman"/>
          <w:sz w:val="24"/>
          <w:lang w:val="en-US" w:eastAsia="zh-CN"/>
        </w:rPr>
        <w:t>15162880902</w:t>
      </w:r>
    </w:p>
    <w:p>
      <w:pPr>
        <w:spacing w:line="240" w:lineRule="exact"/>
        <w:ind w:firstLine="480" w:firstLineChars="200"/>
        <w:rPr>
          <w:rFonts w:hint="eastAsia" w:hAnsi="宋体" w:cs="Times New Roman"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十一、</w:t>
      </w:r>
      <w:r>
        <w:rPr>
          <w:rFonts w:hint="eastAsia"/>
          <w:sz w:val="24"/>
          <w:szCs w:val="24"/>
        </w:rPr>
        <w:t>其他事项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</w:rPr>
        <w:t>付款方式：合同签订后，中标人按招标人要求完成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  <w:lang w:eastAsia="zh-CN"/>
        </w:rPr>
        <w:t>施工</w:t>
      </w:r>
      <w:r>
        <w:rPr>
          <w:rFonts w:hint="eastAsia" w:ascii="??" w:hAnsi="??" w:cs="宋体"/>
          <w:color w:val="000000"/>
          <w:kern w:val="0"/>
          <w:sz w:val="24"/>
          <w:szCs w:val="24"/>
          <w:shd w:val="clear" w:color="auto" w:fill="FFFFFF"/>
        </w:rPr>
        <w:t>，竣工验收合格后，出具正式发票交付招标人，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shd w:val="clear" w:color="auto" w:fill="FFFFFF"/>
          <w:lang w:val="en-US" w:eastAsia="zh-CN"/>
        </w:rPr>
        <w:t>支付总合同额的90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％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，10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％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的余款壹年质保期满后一次性付清。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自行勘踏现场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75" w:beforeAutospacing="0" w:after="75" w:afterAutospacing="0" w:line="42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"/>
        </w:rPr>
        <w:t>3.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公告期限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 xml:space="preserve">   本询价公告自发布之日起公告期限为3个工作日。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spacing w:line="360" w:lineRule="auto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spacing w:line="360" w:lineRule="auto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spacing w:line="360" w:lineRule="auto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spacing w:line="360" w:lineRule="auto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widowControl/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eastAsia="黑体" w:cs="Times New Roman"/>
          <w:sz w:val="34"/>
          <w:szCs w:val="36"/>
          <w:lang w:eastAsia="zh-CN"/>
        </w:rPr>
      </w:pPr>
      <w:r>
        <w:rPr>
          <w:rFonts w:hint="eastAsia" w:eastAsia="黑体"/>
          <w:sz w:val="34"/>
          <w:szCs w:val="36"/>
        </w:rPr>
        <w:t>如皋经济技术开发区实验幼儿园</w:t>
      </w:r>
      <w:r>
        <w:rPr>
          <w:rFonts w:hint="eastAsia" w:eastAsia="黑体" w:cs="Times New Roman"/>
          <w:sz w:val="34"/>
          <w:szCs w:val="36"/>
        </w:rPr>
        <w:t>北操场户外防腐碳化木</w:t>
      </w:r>
      <w:r>
        <w:rPr>
          <w:rFonts w:hint="eastAsia" w:eastAsia="黑体" w:cs="Times New Roman"/>
          <w:sz w:val="34"/>
          <w:szCs w:val="36"/>
          <w:lang w:eastAsia="zh-CN"/>
        </w:rPr>
        <w:t>玩具</w:t>
      </w:r>
      <w:r>
        <w:rPr>
          <w:rFonts w:hint="eastAsia" w:eastAsia="黑体" w:cs="Times New Roman"/>
          <w:sz w:val="34"/>
          <w:szCs w:val="36"/>
        </w:rPr>
        <w:t>置物架</w:t>
      </w:r>
      <w:r>
        <w:rPr>
          <w:rFonts w:hint="eastAsia" w:eastAsia="黑体" w:cs="Times New Roman"/>
          <w:sz w:val="34"/>
          <w:szCs w:val="36"/>
          <w:lang w:eastAsia="zh-CN"/>
        </w:rPr>
        <w:t>采购附件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附件说明：</w:t>
      </w:r>
    </w:p>
    <w:p>
      <w:pPr>
        <w:rPr>
          <w:rFonts w:ascii="方正大黑简体" w:hAnsi="Times New Roman" w:eastAsia="方正大黑简体"/>
          <w:b w:val="0"/>
          <w:w w:val="100"/>
          <w:sz w:val="36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置物架十组、花箱十个（具体见下图）同时按要求安装到位：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2原场地内绿化带植物需移除清理干净。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3.十个花箱里需填满土。（土质满足种植条件）</w:t>
      </w:r>
    </w:p>
    <w:p>
      <w:pPr>
        <w:rPr>
          <w:rFonts w:ascii="方正大黑简体" w:hAnsi="Times New Roman" w:eastAsia="方正大黑简体"/>
          <w:b w:val="0"/>
          <w:w w:val="100"/>
          <w:sz w:val="36"/>
        </w:rPr>
      </w:pPr>
      <w:r>
        <w:rPr>
          <w:rFonts w:ascii="方正大黑简体" w:hAnsi="Times New Roman" w:eastAsia="方正大黑简体"/>
          <w:b w:val="0"/>
          <w:w w:val="100"/>
          <w:sz w:val="36"/>
        </w:rPr>
        <w:drawing>
          <wp:inline distT="0" distB="0" distL="114300" distR="114300">
            <wp:extent cx="3247390" cy="1616710"/>
            <wp:effectExtent l="0" t="0" r="1016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1616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ascii="方正大黑简体" w:hAnsi="Times New Roman" w:eastAsia="方正大黑简体"/>
          <w:b w:val="0"/>
          <w:w w:val="100"/>
          <w:sz w:val="36"/>
        </w:rPr>
      </w:pPr>
      <w:r>
        <w:rPr>
          <w:rFonts w:ascii="方正大黑简体" w:hAnsi="Times New Roman" w:eastAsia="方正大黑简体"/>
          <w:b w:val="0"/>
          <w:w w:val="100"/>
          <w:sz w:val="36"/>
        </w:rPr>
        <w:drawing>
          <wp:inline distT="0" distB="0" distL="114300" distR="114300">
            <wp:extent cx="3439160" cy="1696720"/>
            <wp:effectExtent l="0" t="0" r="8890" b="1778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169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方正大黑简体" w:hAnsi="Times New Roman" w:eastAsia="方正大黑简体"/>
          <w:b w:val="0"/>
          <w:w w:val="100"/>
          <w:sz w:val="36"/>
        </w:rPr>
        <w:drawing>
          <wp:inline distT="0" distB="0" distL="114300" distR="114300">
            <wp:extent cx="4865370" cy="2401570"/>
            <wp:effectExtent l="0" t="0" r="11430" b="1778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5370" cy="2401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 w:ascii="方正大黑简体" w:hAnsi="Times New Roman" w:eastAsia="方正大黑简体"/>
          <w:b w:val="0"/>
          <w:w w:val="100"/>
          <w:sz w:val="36"/>
          <w:lang w:eastAsia="zh-CN"/>
        </w:rPr>
      </w:pPr>
      <w:r>
        <w:rPr>
          <w:rFonts w:ascii="方正大黑简体" w:hAnsi="Times New Roman" w:eastAsia="方正大黑简体"/>
          <w:b w:val="0"/>
          <w:w w:val="100"/>
          <w:sz w:val="36"/>
        </w:rPr>
        <w:drawing>
          <wp:inline distT="0" distB="0" distL="114300" distR="114300">
            <wp:extent cx="2482850" cy="1226185"/>
            <wp:effectExtent l="0" t="0" r="12700" b="1206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226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方正大黑简体" w:hAnsi="Times New Roman" w:eastAsia="方正大黑简体"/>
          <w:b w:val="0"/>
          <w:w w:val="100"/>
          <w:sz w:val="36"/>
        </w:rPr>
        <w:drawing>
          <wp:inline distT="0" distB="0" distL="114300" distR="114300">
            <wp:extent cx="3159125" cy="1564640"/>
            <wp:effectExtent l="0" t="0" r="3175" b="1651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1564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cs="宋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  <w:lang w:eastAsia="zh-CN"/>
        </w:rPr>
        <w:t>投标文件</w:t>
      </w:r>
    </w:p>
    <w:p>
      <w:pPr>
        <w:jc w:val="center"/>
        <w:rPr>
          <w:rFonts w:hint="eastAsia" w:ascii="宋体" w:hAnsi="宋体" w:cs="宋体"/>
          <w:b/>
          <w:sz w:val="36"/>
          <w:szCs w:val="36"/>
          <w:lang w:eastAsia="zh-CN"/>
        </w:rPr>
      </w:pPr>
    </w:p>
    <w:p>
      <w:pPr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项目名称：</w:t>
      </w:r>
    </w:p>
    <w:p>
      <w:pPr>
        <w:jc w:val="left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项目编号：</w:t>
      </w:r>
    </w:p>
    <w:tbl>
      <w:tblPr>
        <w:tblStyle w:val="7"/>
        <w:tblW w:w="9500" w:type="dxa"/>
        <w:tblInd w:w="-31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17"/>
        <w:gridCol w:w="1850"/>
        <w:gridCol w:w="1933"/>
        <w:gridCol w:w="220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4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2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lang w:eastAsia="zh-CN"/>
              </w:rPr>
              <w:t>置物架十组、花箱十个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2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>原场地内绿化带植物需移除清理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1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5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总价人民币（大写）：</w:t>
            </w: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p>
      <w:pPr>
        <w:spacing w:line="48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</w:t>
      </w:r>
      <w:r>
        <w:rPr>
          <w:rFonts w:hint="eastAsia" w:ascii="宋体" w:hAnsi="宋体" w:cs="宋体"/>
          <w:sz w:val="24"/>
        </w:rPr>
        <w:t>报价单位：</w:t>
      </w:r>
    </w:p>
    <w:p>
      <w:pPr>
        <w:spacing w:line="480" w:lineRule="auto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报价日期:</w:t>
      </w:r>
    </w:p>
    <w:p>
      <w:pPr>
        <w:spacing w:line="360" w:lineRule="auto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大黑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75E860"/>
    <w:multiLevelType w:val="singleLevel"/>
    <w:tmpl w:val="E475E8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35"/>
    <w:rsid w:val="00000D5A"/>
    <w:rsid w:val="00052424"/>
    <w:rsid w:val="00057DAD"/>
    <w:rsid w:val="001845FF"/>
    <w:rsid w:val="00254A05"/>
    <w:rsid w:val="002A7162"/>
    <w:rsid w:val="00336F7F"/>
    <w:rsid w:val="00377C83"/>
    <w:rsid w:val="00512799"/>
    <w:rsid w:val="006D43AE"/>
    <w:rsid w:val="006D45DB"/>
    <w:rsid w:val="007154E3"/>
    <w:rsid w:val="007D768F"/>
    <w:rsid w:val="008B0DE4"/>
    <w:rsid w:val="008D55A4"/>
    <w:rsid w:val="009065B9"/>
    <w:rsid w:val="0092138E"/>
    <w:rsid w:val="009B5988"/>
    <w:rsid w:val="009E72BC"/>
    <w:rsid w:val="00A1572D"/>
    <w:rsid w:val="00A26345"/>
    <w:rsid w:val="00A67153"/>
    <w:rsid w:val="00A72FF4"/>
    <w:rsid w:val="00A9554C"/>
    <w:rsid w:val="00B52C07"/>
    <w:rsid w:val="00BD5F4E"/>
    <w:rsid w:val="00CA313F"/>
    <w:rsid w:val="00E034A1"/>
    <w:rsid w:val="00EA7135"/>
    <w:rsid w:val="00F7686A"/>
    <w:rsid w:val="00FB02A8"/>
    <w:rsid w:val="00FB5C7E"/>
    <w:rsid w:val="01C83FCA"/>
    <w:rsid w:val="021E23F3"/>
    <w:rsid w:val="048830E9"/>
    <w:rsid w:val="06E7339C"/>
    <w:rsid w:val="09A11F0A"/>
    <w:rsid w:val="0C092EC2"/>
    <w:rsid w:val="0E177E06"/>
    <w:rsid w:val="115275B2"/>
    <w:rsid w:val="11FE2D34"/>
    <w:rsid w:val="17C413B2"/>
    <w:rsid w:val="1A300655"/>
    <w:rsid w:val="21FD4561"/>
    <w:rsid w:val="23166B85"/>
    <w:rsid w:val="270950EB"/>
    <w:rsid w:val="275863DB"/>
    <w:rsid w:val="33BF44EA"/>
    <w:rsid w:val="33D42294"/>
    <w:rsid w:val="36481BFE"/>
    <w:rsid w:val="39222D55"/>
    <w:rsid w:val="3C087830"/>
    <w:rsid w:val="3F4570F9"/>
    <w:rsid w:val="425A17E5"/>
    <w:rsid w:val="433B591F"/>
    <w:rsid w:val="49CC3569"/>
    <w:rsid w:val="4C0A3F63"/>
    <w:rsid w:val="56581B01"/>
    <w:rsid w:val="649A471C"/>
    <w:rsid w:val="695C246A"/>
    <w:rsid w:val="71B4162C"/>
    <w:rsid w:val="73CD2565"/>
    <w:rsid w:val="73F76CA7"/>
    <w:rsid w:val="786B4F03"/>
    <w:rsid w:val="7C577D2B"/>
    <w:rsid w:val="7E2D79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customStyle="1" w:styleId="9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样式3"/>
    <w:basedOn w:val="3"/>
    <w:qFormat/>
    <w:uiPriority w:val="0"/>
    <w:pPr>
      <w:spacing w:line="0" w:lineRule="atLeast"/>
      <w:outlineLvl w:val="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108</Words>
  <Characters>617</Characters>
  <Lines>5</Lines>
  <Paragraphs>1</Paragraphs>
  <TotalTime>12</TotalTime>
  <ScaleCrop>false</ScaleCrop>
  <LinksUpToDate>false</LinksUpToDate>
  <CharactersWithSpaces>724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2018-07-10T00:43:00Z</dcterms:created>
  <dc:creator>lenovo</dc:creator>
  <cp:lastModifiedBy>翰墨</cp:lastModifiedBy>
  <dcterms:modified xsi:type="dcterms:W3CDTF">2019-07-26T07:53:31Z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